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ptos" w:hAnsi="Aptos"/>
          <w:b/>
          <w:color w:val="B86F4C"/>
          <w:sz w:val="18"/>
        </w:rPr>
        <w:t>FICTIONAL WORKED EXAMPLE</w:t>
      </w:r>
    </w:p>
    <w:p>
      <w:pPr>
        <w:spacing w:after="60"/>
      </w:pPr>
      <w:r>
        <w:rPr>
          <w:rFonts w:ascii="Calibri" w:hAnsi="Calibri"/>
          <w:b/>
          <w:color w:val="30332D"/>
          <w:sz w:val="19"/>
        </w:rPr>
        <w:t>EcoSynth Innovations is an illustrative company created solely to demonstrate how the Candidate Information Packet can be completed. All company, people, financing and role details are fictional.</w:t>
      </w:r>
    </w:p>
    <w:p>
      <w:pPr>
        <w:spacing w:after="60"/>
      </w:pPr>
      <w:r>
        <w:rPr>
          <w:rFonts w:ascii="Aptos" w:hAnsi="Aptos"/>
          <w:b/>
          <w:color w:val="B86F4C"/>
          <w:sz w:val="18"/>
        </w:rPr>
        <w:t>Terra Talent</w:t>
      </w:r>
    </w:p>
    <w:p>
      <w:pPr>
        <w:pStyle w:val="Title"/>
        <w:pBdr>
          <w:bottom w:val="single" w:sz="8" w:space="6" w:color="B86F4C"/>
        </w:pBdr>
        <w:spacing w:after="100"/>
      </w:pPr>
      <w:r>
        <w:t>Candidate Information Packet</w:t>
      </w:r>
    </w:p>
    <w:p>
      <w:pPr>
        <w:spacing w:after="60"/>
      </w:pPr>
      <w:r>
        <w:rPr>
          <w:rFonts w:ascii="Calibri" w:hAnsi="Calibri"/>
          <w:b w:val="0"/>
          <w:color w:val="8A9080"/>
          <w:sz w:val="21"/>
        </w:rPr>
        <w:t>EcoSynth Innovations  ·  Head of Finance and Operations</w:t>
      </w:r>
    </w:p>
    <w:p>
      <w:pPr>
        <w:pStyle w:val="Heading1"/>
        <w:spacing w:before="320" w:after="120"/>
      </w:pPr>
      <w:r>
        <w:rPr>
          <w:color w:val="30332D"/>
        </w:rPr>
        <w:t>Part A | The company brief</w:t>
      </w:r>
    </w:p>
    <w:p>
      <w:pPr>
        <w:pStyle w:val="Heading2"/>
        <w:spacing w:before="160" w:after="40"/>
      </w:pPr>
      <w:r>
        <w:t>The problem</w:t>
      </w:r>
    </w:p>
    <w:p>
      <w:pPr>
        <w:spacing w:after="60"/>
      </w:pPr>
      <w:r>
        <w:rPr>
          <w:rFonts w:ascii="Aptos" w:hAnsi="Aptos"/>
          <w:color w:val="30332D"/>
          <w:sz w:val="19"/>
        </w:rPr>
        <w:t>The hardest plastic waste to recycle is usually not the clean, single-polymer material that mechanical recycling handles well. Mixed and contaminated streams are much harder to separate economically, so a large amount of that material is still landfilled or burned.</w:t>
      </w:r>
    </w:p>
    <w:p>
      <w:pPr>
        <w:pStyle w:val="Heading2"/>
        <w:spacing w:before="160" w:after="40"/>
      </w:pPr>
      <w:r>
        <w:t>What the company does about it</w:t>
      </w:r>
    </w:p>
    <w:p>
      <w:pPr>
        <w:spacing w:after="60"/>
      </w:pPr>
      <w:r>
        <w:t>EcoSynth runs a chemical recycling process that breaks mixed plastic waste back down into its constituent monomers, which can then be repolymerised into virgin-grade material. Because the process works at the molecular level, it tolerates the contamination and polymer mixing that stops mechanical recycling. We operate one pilot line in Boulder, Colorado, processing 1.5 tonnes a day.</w:t>
      </w:r>
    </w:p>
    <w:p>
      <w:pPr>
        <w:pStyle w:val="Heading2"/>
        <w:spacing w:before="160" w:after="40"/>
      </w:pPr>
      <w:r>
        <w:t>Why this approach is different</w:t>
      </w:r>
    </w:p>
    <w:p>
      <w:pPr>
        <w:spacing w:after="60"/>
      </w:pPr>
      <w:r>
        <w:t>Chemical recycling is not new. What is different here is the catalyst: ours runs at 180°C rather than the 350°C typical of competing depolymerisation routes. That halves the energy cost per tonne, which is the number that has kept chemical recycling uneconomic against virgin plastic. We hold two granted patents on the catalyst and its regeneration cycle.</w:t>
      </w:r>
    </w:p>
    <w:p>
      <w:pPr>
        <w:pStyle w:val="Heading2"/>
        <w:spacing w:before="160" w:after="40"/>
      </w:pPr>
      <w:r>
        <w:t>Who is behind it</w:t>
      </w:r>
    </w:p>
    <w:p>
      <w:pPr>
        <w:spacing w:after="60"/>
      </w:pPr>
      <w:r>
        <w:t>Elena Rodríguez, CEO, spent eleven years in polymer process engineering, latterly running scale-up for a specialty chemicals manufacturer. Mikhail Petrov, CTO, holds the original catalyst patents from his postdoctoral work and has built every generation of the reactor since. The team is 35 people, about two thirds of them engineers.</w:t>
      </w:r>
    </w:p>
    <w:p>
      <w:pPr>
        <w:pStyle w:val="Heading2"/>
        <w:spacing w:before="160" w:after="40"/>
      </w:pPr>
      <w:r>
        <w:t>Where it is going</w:t>
      </w:r>
    </w:p>
    <w:p>
      <w:pPr>
        <w:spacing w:after="60"/>
      </w:pPr>
      <w:r>
        <w:t>We raised a $42m Series B in March to build our first commercial line: 40 tonnes a day, targeted for commissioning in Q4 next year. The next twelve months are about proving the unit economics at that scale. If the commercial line hits its cost-per-tonne target, the model works. If it does not, we will have learned that expensively and publicly.</w:t>
      </w:r>
    </w:p>
    <w:p>
      <w:pPr>
        <w:pStyle w:val="Heading1"/>
        <w:spacing w:before="320" w:after="120"/>
      </w:pPr>
      <w:r>
        <w:rPr>
          <w:color w:val="30332D"/>
        </w:rPr>
        <w:t>Part B | At a glance</w:t>
      </w:r>
    </w:p>
    <w:tbl>
      <w:tblPr>
        <w:tblStyle w:val="TableGrid"/>
        <w:tblW w:type="auto" w:w="0"/>
        <w:jc w:val="center"/>
        <w:tblLayout w:type="autofit"/>
        <w:tblLook w:firstColumn="1" w:firstRow="1" w:lastColumn="0" w:lastRow="0" w:noHBand="0" w:noVBand="1" w:val="04A0"/>
      </w:tblPr>
      <w:tblGrid>
        <w:gridCol w:w="4752"/>
        <w:gridCol w:w="4752"/>
      </w:tblGrid>
      <w:tr>
        <w:tc>
          <w:tcPr>
            <w:tcW w:type="dxa" w:w="4752"/>
            <w:vAlign w:val="center"/>
            <w:tcBorders>
              <w:top w:val="single" w:sz="4" w:color="D8D0C3"/>
              <w:left w:val="single" w:sz="4" w:color="D8D0C3"/>
              <w:bottom w:val="single" w:sz="4" w:color="D8D0C3"/>
              <w:right w:val="single" w:sz="4" w:color="D8D0C3"/>
            </w:tcBorders>
            <w:shd w:fill="F4EFE6"/>
          </w:tcPr>
          <w:p>
            <w:r>
              <w:rPr>
                <w:rFonts w:ascii="Aptos" w:hAnsi="Aptos"/>
                <w:b/>
                <w:color w:val="30332D"/>
                <w:sz w:val="18"/>
              </w:rPr>
              <w:t>Role</w:t>
            </w:r>
          </w:p>
        </w:tc>
        <w:tc>
          <w:tcPr>
            <w:tcW w:type="dxa" w:w="4752"/>
            <w:vAlign w:val="center"/>
            <w:tcBorders>
              <w:top w:val="single" w:sz="4" w:color="D8D0C3"/>
              <w:left w:val="single" w:sz="4" w:color="D8D0C3"/>
              <w:bottom w:val="single" w:sz="4" w:color="D8D0C3"/>
              <w:right w:val="single" w:sz="4" w:color="D8D0C3"/>
            </w:tcBorders>
          </w:tcPr>
          <w:p>
            <w:r>
              <w:rPr>
                <w:rFonts w:ascii="Aptos" w:hAnsi="Aptos"/>
                <w:color w:val="30332D"/>
                <w:sz w:val="18"/>
              </w:rPr>
              <w:t>Head of Finance and Operations</w:t>
            </w:r>
          </w:p>
        </w:tc>
      </w:tr>
      <w:tr>
        <w:tc>
          <w:tcPr>
            <w:tcW w:type="dxa" w:w="4752"/>
            <w:vAlign w:val="center"/>
            <w:tcBorders>
              <w:top w:val="single" w:sz="4" w:color="D8D0C3"/>
              <w:left w:val="single" w:sz="4" w:color="D8D0C3"/>
              <w:bottom w:val="single" w:sz="4" w:color="D8D0C3"/>
              <w:right w:val="single" w:sz="4" w:color="D8D0C3"/>
            </w:tcBorders>
            <w:shd w:fill="F4EFE6"/>
          </w:tcPr>
          <w:p>
            <w:r>
              <w:rPr>
                <w:rFonts w:ascii="Aptos" w:hAnsi="Aptos"/>
                <w:b/>
                <w:color w:val="30332D"/>
                <w:sz w:val="18"/>
              </w:rPr>
              <w:t>Location</w:t>
            </w:r>
          </w:p>
        </w:tc>
        <w:tc>
          <w:tcPr>
            <w:tcW w:type="dxa" w:w="4752"/>
            <w:vAlign w:val="center"/>
            <w:tcBorders>
              <w:top w:val="single" w:sz="4" w:color="D8D0C3"/>
              <w:left w:val="single" w:sz="4" w:color="D8D0C3"/>
              <w:bottom w:val="single" w:sz="4" w:color="D8D0C3"/>
              <w:right w:val="single" w:sz="4" w:color="D8D0C3"/>
            </w:tcBorders>
          </w:tcPr>
          <w:p>
            <w:r>
              <w:rPr>
                <w:rFonts w:ascii="Aptos" w:hAnsi="Aptos"/>
                <w:color w:val="30332D"/>
                <w:sz w:val="18"/>
              </w:rPr>
              <w:t>Boulder, Colorado. Three days a week on site.</w:t>
            </w:r>
          </w:p>
        </w:tc>
      </w:tr>
      <w:tr>
        <w:tc>
          <w:tcPr>
            <w:tcW w:type="dxa" w:w="4752"/>
            <w:vAlign w:val="center"/>
            <w:tcBorders>
              <w:top w:val="single" w:sz="4" w:color="D8D0C3"/>
              <w:left w:val="single" w:sz="4" w:color="D8D0C3"/>
              <w:bottom w:val="single" w:sz="4" w:color="D8D0C3"/>
              <w:right w:val="single" w:sz="4" w:color="D8D0C3"/>
            </w:tcBorders>
            <w:shd w:fill="F4EFE6"/>
          </w:tcPr>
          <w:p>
            <w:r>
              <w:rPr>
                <w:rFonts w:ascii="Aptos" w:hAnsi="Aptos"/>
                <w:b/>
                <w:color w:val="30332D"/>
                <w:sz w:val="18"/>
              </w:rPr>
              <w:t>Team size</w:t>
            </w:r>
          </w:p>
        </w:tc>
        <w:tc>
          <w:tcPr>
            <w:tcW w:type="dxa" w:w="4752"/>
            <w:vAlign w:val="center"/>
            <w:tcBorders>
              <w:top w:val="single" w:sz="4" w:color="D8D0C3"/>
              <w:left w:val="single" w:sz="4" w:color="D8D0C3"/>
              <w:bottom w:val="single" w:sz="4" w:color="D8D0C3"/>
              <w:right w:val="single" w:sz="4" w:color="D8D0C3"/>
            </w:tcBorders>
          </w:tcPr>
          <w:p>
            <w:r>
              <w:rPr>
                <w:rFonts w:ascii="Aptos" w:hAnsi="Aptos"/>
                <w:color w:val="30332D"/>
                <w:sz w:val="18"/>
              </w:rPr>
              <w:t>35 today, planned 60 by the end of next year.</w:t>
            </w:r>
          </w:p>
        </w:tc>
      </w:tr>
      <w:tr>
        <w:tc>
          <w:tcPr>
            <w:tcW w:type="dxa" w:w="4752"/>
            <w:vAlign w:val="center"/>
            <w:tcBorders>
              <w:top w:val="single" w:sz="4" w:color="D8D0C3"/>
              <w:left w:val="single" w:sz="4" w:color="D8D0C3"/>
              <w:bottom w:val="single" w:sz="4" w:color="D8D0C3"/>
              <w:right w:val="single" w:sz="4" w:color="D8D0C3"/>
            </w:tcBorders>
            <w:shd w:fill="F4EFE6"/>
          </w:tcPr>
          <w:p>
            <w:r>
              <w:rPr>
                <w:rFonts w:ascii="Aptos" w:hAnsi="Aptos"/>
                <w:b/>
                <w:color w:val="30332D"/>
                <w:sz w:val="18"/>
              </w:rPr>
              <w:t>Reports to</w:t>
            </w:r>
          </w:p>
        </w:tc>
        <w:tc>
          <w:tcPr>
            <w:tcW w:type="dxa" w:w="4752"/>
            <w:vAlign w:val="center"/>
            <w:tcBorders>
              <w:top w:val="single" w:sz="4" w:color="D8D0C3"/>
              <w:left w:val="single" w:sz="4" w:color="D8D0C3"/>
              <w:bottom w:val="single" w:sz="4" w:color="D8D0C3"/>
              <w:right w:val="single" w:sz="4" w:color="D8D0C3"/>
            </w:tcBorders>
          </w:tcPr>
          <w:p>
            <w:r>
              <w:rPr>
                <w:rFonts w:ascii="Aptos" w:hAnsi="Aptos"/>
                <w:color w:val="30332D"/>
                <w:sz w:val="18"/>
              </w:rPr>
              <w:t>Elena Rodríguez, CEO. One direct report today, three expected.</w:t>
            </w:r>
          </w:p>
        </w:tc>
      </w:tr>
      <w:tr>
        <w:tc>
          <w:tcPr>
            <w:tcW w:type="dxa" w:w="4752"/>
            <w:vAlign w:val="center"/>
            <w:tcBorders>
              <w:top w:val="single" w:sz="4" w:color="D8D0C3"/>
              <w:left w:val="single" w:sz="4" w:color="D8D0C3"/>
              <w:bottom w:val="single" w:sz="4" w:color="D8D0C3"/>
              <w:right w:val="single" w:sz="4" w:color="D8D0C3"/>
            </w:tcBorders>
            <w:shd w:fill="F4EFE6"/>
          </w:tcPr>
          <w:p>
            <w:r>
              <w:rPr>
                <w:rFonts w:ascii="Aptos" w:hAnsi="Aptos"/>
                <w:b/>
                <w:color w:val="30332D"/>
                <w:sz w:val="18"/>
              </w:rPr>
              <w:t>Compensation range</w:t>
            </w:r>
          </w:p>
        </w:tc>
        <w:tc>
          <w:tcPr>
            <w:tcW w:type="dxa" w:w="4752"/>
            <w:vAlign w:val="center"/>
            <w:tcBorders>
              <w:top w:val="single" w:sz="4" w:color="D8D0C3"/>
              <w:left w:val="single" w:sz="4" w:color="D8D0C3"/>
              <w:bottom w:val="single" w:sz="4" w:color="D8D0C3"/>
              <w:right w:val="single" w:sz="4" w:color="D8D0C3"/>
            </w:tcBorders>
          </w:tcPr>
          <w:p>
            <w:r>
              <w:rPr>
                <w:rFonts w:ascii="Aptos" w:hAnsi="Aptos"/>
                <w:color w:val="30332D"/>
                <w:sz w:val="18"/>
              </w:rPr>
              <w:t>$205,000 – $240,000 base. We will tell you where in that band we expect to land on the first call.</w:t>
            </w:r>
          </w:p>
        </w:tc>
      </w:tr>
      <w:tr>
        <w:tc>
          <w:tcPr>
            <w:tcW w:type="dxa" w:w="4752"/>
            <w:vAlign w:val="center"/>
            <w:tcBorders>
              <w:top w:val="single" w:sz="4" w:color="D8D0C3"/>
              <w:left w:val="single" w:sz="4" w:color="D8D0C3"/>
              <w:bottom w:val="single" w:sz="4" w:color="D8D0C3"/>
              <w:right w:val="single" w:sz="4" w:color="D8D0C3"/>
            </w:tcBorders>
            <w:shd w:fill="F4EFE6"/>
          </w:tcPr>
          <w:p>
            <w:r>
              <w:rPr>
                <w:rFonts w:ascii="Aptos" w:hAnsi="Aptos"/>
                <w:b/>
                <w:color w:val="30332D"/>
                <w:sz w:val="18"/>
              </w:rPr>
              <w:t>Equity</w:t>
            </w:r>
          </w:p>
        </w:tc>
        <w:tc>
          <w:tcPr>
            <w:tcW w:type="dxa" w:w="4752"/>
            <w:vAlign w:val="center"/>
            <w:tcBorders>
              <w:top w:val="single" w:sz="4" w:color="D8D0C3"/>
              <w:left w:val="single" w:sz="4" w:color="D8D0C3"/>
              <w:bottom w:val="single" w:sz="4" w:color="D8D0C3"/>
              <w:right w:val="single" w:sz="4" w:color="D8D0C3"/>
            </w:tcBorders>
          </w:tcPr>
          <w:p>
            <w:r>
              <w:rPr>
                <w:rFonts w:ascii="Aptos" w:hAnsi="Aptos"/>
                <w:color w:val="30332D"/>
                <w:sz w:val="18"/>
              </w:rPr>
              <w:t>0.35% – 0.55% on a fully diluted basis, four-year vest, one-year cliff. We will walk you through the cap table before you decide.</w:t>
            </w:r>
          </w:p>
        </w:tc>
      </w:tr>
    </w:tbl>
    <w:p>
      <w:pPr>
        <w:spacing w:after="60"/>
      </w:pPr>
    </w:p>
    <w:p>
      <w:pPr>
        <w:pStyle w:val="Heading1"/>
        <w:spacing w:before="320" w:after="120"/>
      </w:pPr>
      <w:r>
        <w:rPr>
          <w:color w:val="30332D"/>
        </w:rPr>
        <w:t>Part C | The role</w:t>
      </w:r>
    </w:p>
    <w:p>
      <w:pPr>
        <w:pStyle w:val="Heading2"/>
        <w:spacing w:before="160" w:after="40"/>
      </w:pPr>
      <w:r>
        <w:t>About the team</w:t>
      </w:r>
    </w:p>
    <w:p>
      <w:pPr>
        <w:spacing w:after="60"/>
      </w:pPr>
      <w:r>
        <w:t>You would inherit a two-person finance function that has been running on a bookkeeper and a fractional CFO. Day to day you would work most closely with Elena, with Mikhail on capital equipment decisions, and with our plant manager on the commercial line build.</w:t>
      </w:r>
    </w:p>
    <w:p>
      <w:pPr>
        <w:pStyle w:val="Heading2"/>
        <w:spacing w:before="160" w:after="40"/>
      </w:pPr>
      <w:r>
        <w:t>Your mission</w:t>
      </w:r>
    </w:p>
    <w:p>
      <w:pPr>
        <w:spacing w:after="60"/>
      </w:pPr>
      <w:r>
        <w:t>Twelve months from now, the commercial line is funded, built and commissioned on budget, and we can state our cost per tonne at 40 tonnes a day with numbers an investor will accept. Getting there means a capital plan we can defend, a finance function that does not depend on one person, and a Series C conversation that starts from evidence rather than a forecast.</w:t>
      </w:r>
    </w:p>
    <w:p>
      <w:pPr>
        <w:pStyle w:val="Heading2"/>
        <w:spacing w:before="160" w:after="40"/>
      </w:pPr>
      <w:r>
        <w:t>What you will own</w:t>
      </w:r>
    </w:p>
    <w:p>
      <w:pPr>
        <w:pStyle w:val="ListBullet"/>
        <w:spacing w:after="100"/>
      </w:pPr>
      <w:r>
        <w:t>The capital plan for the commercial line, including the equipment financing decision we have deferred twice.</w:t>
      </w:r>
    </w:p>
    <w:p>
      <w:pPr>
        <w:pStyle w:val="ListBullet"/>
        <w:spacing w:after="100"/>
      </w:pPr>
      <w:r>
        <w:t>Unit economics. Today our cost per tonne is a spreadsheet nobody fully trusts. Making that number defensible is the single most valuable thing in this role.</w:t>
      </w:r>
    </w:p>
    <w:p>
      <w:pPr>
        <w:pStyle w:val="ListBullet"/>
        <w:spacing w:after="100"/>
      </w:pPr>
      <w:r>
        <w:t>The finance function itself: systems, controls and the two hires that follow you.</w:t>
      </w:r>
    </w:p>
    <w:p>
      <w:pPr>
        <w:pStyle w:val="ListBullet"/>
        <w:spacing w:after="100"/>
      </w:pPr>
      <w:r>
        <w:t>Investor reporting and the Series C process, alongside Elena.</w:t>
      </w:r>
    </w:p>
    <w:p>
      <w:pPr>
        <w:pStyle w:val="ListBullet"/>
        <w:spacing w:after="100"/>
      </w:pPr>
      <w:r>
        <w:t>Site operations that are not engineering — procurement, facilities, compliance.</w:t>
      </w:r>
    </w:p>
    <w:p>
      <w:pPr>
        <w:pStyle w:val="Heading2"/>
        <w:spacing w:before="160" w:after="40"/>
      </w:pPr>
      <w:r>
        <w:t>Who we are looking for</w:t>
      </w:r>
    </w:p>
    <w:p>
      <w:pPr>
        <w:spacing w:after="60"/>
      </w:pPr>
      <w:r>
        <w:t>Required, and we will ask for evidence of each:</w:t>
      </w:r>
    </w:p>
    <w:p>
      <w:pPr>
        <w:pStyle w:val="ListBullet"/>
        <w:spacing w:after="100"/>
      </w:pPr>
      <w:r>
        <w:t>You have taken a physical plant or production line from plan to commissioning, and owned the budget while it happened.</w:t>
      </w:r>
    </w:p>
    <w:p>
      <w:pPr>
        <w:pStyle w:val="ListBullet"/>
        <w:spacing w:after="100"/>
      </w:pPr>
      <w:r>
        <w:t>You have built a capital plan that survived contact with an equipment vendor and a lender.</w:t>
      </w:r>
    </w:p>
    <w:p>
      <w:pPr>
        <w:pStyle w:val="ListBullet"/>
        <w:spacing w:after="100"/>
      </w:pPr>
      <w:r>
        <w:t>You can explain a unit-economics model to an engineer who will challenge every assumption in it.</w:t>
      </w:r>
    </w:p>
    <w:p>
      <w:pPr>
        <w:spacing w:after="60"/>
      </w:pPr>
      <w:r>
        <w:t>Useful but not required. Several of our strongest candidates have had none of these:</w:t>
      </w:r>
    </w:p>
    <w:p>
      <w:pPr>
        <w:pStyle w:val="ListBullet"/>
        <w:spacing w:after="100"/>
      </w:pPr>
      <w:r>
        <w:t>Venture-backed experience.</w:t>
      </w:r>
    </w:p>
    <w:p>
      <w:pPr>
        <w:pStyle w:val="ListBullet"/>
        <w:spacing w:after="100"/>
      </w:pPr>
      <w:r>
        <w:t>Climate or materials sector background.</w:t>
      </w:r>
    </w:p>
    <w:p>
      <w:pPr>
        <w:pStyle w:val="ListBullet"/>
        <w:spacing w:after="100"/>
      </w:pPr>
      <w:r>
        <w:t>A qualification in accountancy.</w:t>
      </w:r>
    </w:p>
    <w:p>
      <w:pPr>
        <w:spacing w:after="60"/>
      </w:pPr>
      <w:r>
        <w:t>We care more about whether you have done the thing than where you did it. If you have commissioned a line in food processing or pharmaceuticals rather than recycling, we want to talk to you.</w:t>
      </w:r>
    </w:p>
    <w:p>
      <w:pPr>
        <w:pStyle w:val="Heading2"/>
        <w:spacing w:before="160" w:after="40"/>
      </w:pPr>
      <w:r>
        <w:t>What we offer</w:t>
      </w:r>
    </w:p>
    <w:p>
      <w:pPr>
        <w:pStyle w:val="ListBullet"/>
        <w:spacing w:after="100"/>
      </w:pPr>
      <w:r>
        <w:t>The compensation and equity stated in Part B, reviewed annually.</w:t>
      </w:r>
    </w:p>
    <w:p>
      <w:pPr>
        <w:pStyle w:val="ListBullet"/>
        <w:spacing w:after="100"/>
      </w:pPr>
      <w:r>
        <w:t>Health, dental and vision, fully covered for you and 75% for dependants.</w:t>
      </w:r>
    </w:p>
    <w:p>
      <w:pPr>
        <w:pStyle w:val="ListBullet"/>
        <w:spacing w:after="100"/>
      </w:pPr>
      <w:r>
        <w:t>Four weeks' holiday plus public holidays, and we do check that people take it.</w:t>
      </w:r>
    </w:p>
    <w:p>
      <w:pPr>
        <w:pStyle w:val="ListBullet"/>
        <w:spacing w:after="100"/>
      </w:pPr>
      <w:r>
        <w:t>A $3,000 annual budget for training or conferences, no approval process.</w:t>
      </w:r>
    </w:p>
    <w:p>
      <w:pPr>
        <w:pStyle w:val="ListBullet"/>
        <w:spacing w:after="100"/>
      </w:pPr>
      <w:r>
        <w:t>Relocation support to Boulder if you need it.</w:t>
      </w:r>
    </w:p>
    <w:p>
      <w:pPr>
        <w:pStyle w:val="Heading1"/>
        <w:spacing w:before="320" w:after="120"/>
      </w:pPr>
      <w:r>
        <w:rPr>
          <w:color w:val="30332D"/>
        </w:rPr>
        <w:t>Part D | The hiring process</w:t>
      </w:r>
    </w:p>
    <w:p>
      <w:pPr>
        <w:spacing w:after="60"/>
      </w:pPr>
      <w:r>
        <w:t>Four stages, usually three to four weeks end to end. We will tell you where you stand within two working days of each one.</w:t>
      </w:r>
    </w:p>
    <w:p>
      <w:pPr>
        <w:pStyle w:val="Heading2"/>
        <w:spacing w:before="160" w:after="40"/>
      </w:pPr>
      <w:r>
        <w:t>Stage 1 — Recruiter call, 30 minutes</w:t>
      </w:r>
    </w:p>
    <w:p>
      <w:pPr>
        <w:spacing w:after="60"/>
      </w:pPr>
      <w:r>
        <w:t>What the role actually involves, what you are looking for, compensation expectations and timing. No assessment. This call exists so neither of us wastes the next three weeks.</w:t>
      </w:r>
    </w:p>
    <w:p>
      <w:pPr>
        <w:pStyle w:val="Heading2"/>
        <w:spacing w:before="160" w:after="40"/>
      </w:pPr>
      <w:r>
        <w:t>Stage 2 — Elena, 60 minutes</w:t>
      </w:r>
    </w:p>
    <w:p>
      <w:pPr>
        <w:spacing w:after="60"/>
      </w:pPr>
      <w:r>
        <w:t>Your experience of taking a line from plan to commissioning, and how you approach a capital plan. Expect to be asked for specifics.</w:t>
      </w:r>
    </w:p>
    <w:p>
      <w:pPr>
        <w:pStyle w:val="Heading2"/>
        <w:spacing w:before="160" w:after="40"/>
      </w:pPr>
      <w:r>
        <w:t>Stage 3 — Work sample and discussion, 90 minutes</w:t>
      </w:r>
    </w:p>
    <w:p>
      <w:pPr>
        <w:spacing w:after="60"/>
      </w:pPr>
      <w:r>
        <w:t>We send you an anonymised version of our current unit-economics model with a brief. You should spend no more than three hours on it. We then discuss what you found. The exercise is adjacent to our work, not a live deliverable, and we will not use what you produce.</w:t>
      </w:r>
    </w:p>
    <w:p>
      <w:pPr>
        <w:pStyle w:val="Heading2"/>
        <w:spacing w:before="160" w:after="40"/>
      </w:pPr>
      <w:r>
        <w:t>Stage 4 — Site visit, half a day</w:t>
      </w:r>
    </w:p>
    <w:p>
      <w:pPr>
        <w:spacing w:after="60"/>
      </w:pPr>
      <w:r>
        <w:t>Meet Mikhail, the plant manager and two engineers. See the pilot line running. This is as much for you as for us.</w:t>
      </w:r>
    </w:p>
    <w:p>
      <w:pPr>
        <w:pStyle w:val="Heading2"/>
        <w:spacing w:before="160" w:after="40"/>
      </w:pPr>
      <w:r>
        <w:t>Decision and offer</w:t>
      </w:r>
    </w:p>
    <w:p>
      <w:pPr>
        <w:spacing w:after="60"/>
      </w:pPr>
      <w:r>
        <w:t>Elena decides, on written feedback from everyone you met. If we make an offer it comes within two working days of the site visit, with the cap table and a full explanation of the equity.</w:t>
      </w:r>
    </w:p>
    <w:p>
      <w:pPr>
        <w:pStyle w:val="Heading1"/>
        <w:spacing w:before="320" w:after="120"/>
      </w:pPr>
      <w:r>
        <w:rPr>
          <w:color w:val="30332D"/>
        </w:rPr>
        <w:t>Part E | Questions worth asking us</w:t>
      </w:r>
    </w:p>
    <w:p>
      <w:pPr>
        <w:spacing w:after="60"/>
      </w:pPr>
      <w:r>
        <w:t>Questions we would ask in your position, and are happy to answer properly:</w:t>
      </w:r>
    </w:p>
    <w:p>
      <w:pPr>
        <w:pStyle w:val="ListBullet"/>
        <w:spacing w:after="100"/>
      </w:pPr>
      <w:r>
        <w:t>What is your current cost per tonne, and how confident are you in it?</w:t>
      </w:r>
    </w:p>
    <w:p>
      <w:pPr>
        <w:pStyle w:val="ListBullet"/>
        <w:spacing w:after="100"/>
      </w:pPr>
      <w:r>
        <w:t>What happens if the commercial line misses its cost target?</w:t>
      </w:r>
    </w:p>
    <w:p>
      <w:pPr>
        <w:pStyle w:val="ListBullet"/>
        <w:spacing w:after="100"/>
      </w:pPr>
      <w:r>
        <w:t>How much runway is there after the Series B, and what does it assume?</w:t>
      </w:r>
    </w:p>
    <w:p>
      <w:pPr>
        <w:pStyle w:val="ListBullet"/>
        <w:spacing w:after="100"/>
      </w:pPr>
      <w:r>
        <w:t>Who has left the company in the last year, and why?</w:t>
      </w:r>
    </w:p>
    <w:p>
      <w:pPr>
        <w:pStyle w:val="ListBullet"/>
        <w:spacing w:after="100"/>
      </w:pPr>
      <w:r>
        <w:t>What has the CEO been wrong about?</w:t>
      </w:r>
    </w:p>
    <w:p>
      <w:pPr>
        <w:spacing w:after="60"/>
      </w:pPr>
      <w:r>
        <w:rPr>
          <w:rFonts w:ascii="Calibri" w:hAnsi="Calibri"/>
          <w:b/>
          <w:color w:val="8A5A42"/>
          <w:sz w:val="16"/>
        </w:rPr>
        <w:t>Terra Talent  ·  terratalent.com</w:t>
      </w:r>
    </w:p>
    <w:sectPr w:rsidR="00FC693F" w:rsidRPr="0006063C" w:rsidSect="00034616">
      <w:pgSz w:w="12240" w:h="15840"/>
      <w:pgMar w:top="792" w:right="1037" w:bottom="648"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0332D"/>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30332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30332D"/>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val="0"/>
      <w:color w:val="30332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